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F8DD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Payment Security and Billing Policy</w:t>
      </w:r>
    </w:p>
    <w:p w14:paraId="0C2D25DB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 xml:space="preserve">Company Name: </w:t>
      </w:r>
      <w:proofErr w:type="spellStart"/>
      <w:r w:rsidRPr="00590E3A">
        <w:rPr>
          <w:rFonts w:ascii="Arial" w:hAnsi="Arial" w:cs="Arial"/>
        </w:rPr>
        <w:t>Ilirikon</w:t>
      </w:r>
      <w:proofErr w:type="spellEnd"/>
      <w:r w:rsidRPr="00590E3A">
        <w:rPr>
          <w:rFonts w:ascii="Arial" w:hAnsi="Arial" w:cs="Arial"/>
        </w:rPr>
        <w:t xml:space="preserve"> LLC</w:t>
      </w:r>
      <w:r w:rsidRPr="00590E3A">
        <w:rPr>
          <w:rFonts w:ascii="Arial" w:hAnsi="Arial" w:cs="Arial"/>
        </w:rPr>
        <w:br/>
        <w:t>Company Address: 30 N Gould St, Sheridan, WY 82801, United States</w:t>
      </w:r>
      <w:r w:rsidRPr="00590E3A">
        <w:rPr>
          <w:rFonts w:ascii="Arial" w:hAnsi="Arial" w:cs="Arial"/>
        </w:rPr>
        <w:br/>
        <w:t xml:space="preserve">Website: </w:t>
      </w:r>
      <w:hyperlink r:id="rId4" w:tgtFrame="_new" w:history="1">
        <w:r w:rsidRPr="00590E3A">
          <w:rPr>
            <w:rStyle w:val="Hyperlink"/>
            <w:rFonts w:ascii="Arial" w:hAnsi="Arial" w:cs="Arial"/>
          </w:rPr>
          <w:t>https://www.ilirikon.com/en/</w:t>
        </w:r>
      </w:hyperlink>
      <w:r w:rsidRPr="00590E3A">
        <w:rPr>
          <w:rFonts w:ascii="Arial" w:hAnsi="Arial" w:cs="Arial"/>
        </w:rPr>
        <w:br/>
        <w:t>Email: info@ilirikon.com</w:t>
      </w:r>
      <w:r w:rsidRPr="00590E3A">
        <w:rPr>
          <w:rFonts w:ascii="Arial" w:hAnsi="Arial" w:cs="Arial"/>
        </w:rPr>
        <w:br/>
        <w:t>Effective Date: February 20, 2026</w:t>
      </w:r>
    </w:p>
    <w:p w14:paraId="3B1207DE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1. Introduction</w:t>
      </w:r>
    </w:p>
    <w:p w14:paraId="3DC4AA2A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 xml:space="preserve">This Payment Security and Billing Policy ("Policy") governs all payments, billing procedures, financial transactions, and payment security practices associated with the services, events, products, applications, and features provided by </w:t>
      </w:r>
      <w:proofErr w:type="spellStart"/>
      <w:r w:rsidRPr="00590E3A">
        <w:rPr>
          <w:rFonts w:ascii="Arial" w:hAnsi="Arial" w:cs="Arial"/>
        </w:rPr>
        <w:t>Ilirikon</w:t>
      </w:r>
      <w:proofErr w:type="spellEnd"/>
      <w:r w:rsidRPr="00590E3A">
        <w:rPr>
          <w:rFonts w:ascii="Arial" w:hAnsi="Arial" w:cs="Arial"/>
        </w:rPr>
        <w:t xml:space="preserve"> LLC ("</w:t>
      </w:r>
      <w:proofErr w:type="spellStart"/>
      <w:r w:rsidRPr="00590E3A">
        <w:rPr>
          <w:rFonts w:ascii="Arial" w:hAnsi="Arial" w:cs="Arial"/>
        </w:rPr>
        <w:t>Ilirikon</w:t>
      </w:r>
      <w:proofErr w:type="spellEnd"/>
      <w:r w:rsidRPr="00590E3A">
        <w:rPr>
          <w:rFonts w:ascii="Arial" w:hAnsi="Arial" w:cs="Arial"/>
        </w:rPr>
        <w:t>," "Company," "we," "us," or "our") through our website, mobile applications, and related services (collectively, the "Services").</w:t>
      </w:r>
    </w:p>
    <w:p w14:paraId="3CC0D0EB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By purchasing, registering for, or paying for any Services, you agree to this Policy.</w:t>
      </w:r>
    </w:p>
    <w:p w14:paraId="4C1BA209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This Policy is designed to ensure secure, transparent, and compliant payment processing in accordance with applicable laws, financial regulations, and industry standards.</w:t>
      </w:r>
    </w:p>
    <w:p w14:paraId="5B2404DD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2. Accepted Payment Methods</w:t>
      </w:r>
    </w:p>
    <w:p w14:paraId="0FDB8B13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We may accept various payment methods, including but not limited to:</w:t>
      </w:r>
    </w:p>
    <w:p w14:paraId="747303E2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• Credit cards</w:t>
      </w:r>
      <w:r w:rsidRPr="00590E3A">
        <w:rPr>
          <w:rFonts w:ascii="Arial" w:hAnsi="Arial" w:cs="Arial"/>
        </w:rPr>
        <w:br/>
        <w:t>• Debit cards</w:t>
      </w:r>
      <w:r w:rsidRPr="00590E3A">
        <w:rPr>
          <w:rFonts w:ascii="Arial" w:hAnsi="Arial" w:cs="Arial"/>
        </w:rPr>
        <w:br/>
        <w:t>• ACH transfers</w:t>
      </w:r>
      <w:r w:rsidRPr="00590E3A">
        <w:rPr>
          <w:rFonts w:ascii="Arial" w:hAnsi="Arial" w:cs="Arial"/>
        </w:rPr>
        <w:br/>
        <w:t>• Wire transfers</w:t>
      </w:r>
      <w:r w:rsidRPr="00590E3A">
        <w:rPr>
          <w:rFonts w:ascii="Arial" w:hAnsi="Arial" w:cs="Arial"/>
        </w:rPr>
        <w:br/>
        <w:t>• Online payment processors (including Stripe and similar providers)</w:t>
      </w:r>
      <w:r w:rsidRPr="00590E3A">
        <w:rPr>
          <w:rFonts w:ascii="Arial" w:hAnsi="Arial" w:cs="Arial"/>
        </w:rPr>
        <w:br/>
        <w:t>• Mobile payment platforms</w:t>
      </w:r>
      <w:r w:rsidRPr="00590E3A">
        <w:rPr>
          <w:rFonts w:ascii="Arial" w:hAnsi="Arial" w:cs="Arial"/>
        </w:rPr>
        <w:br/>
        <w:t>• Other secure electronic payment systems</w:t>
      </w:r>
    </w:p>
    <w:p w14:paraId="7B68E6D7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Available payment methods may vary depending on the Service, location, and transaction type.</w:t>
      </w:r>
    </w:p>
    <w:p w14:paraId="026CBC1F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We reserve the right to modify accepted payment methods at any time.</w:t>
      </w:r>
    </w:p>
    <w:p w14:paraId="2079A809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3. Third-Party Payment Processors</w:t>
      </w:r>
    </w:p>
    <w:p w14:paraId="763032A4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All payments are processed through secure third-party payment processors.</w:t>
      </w:r>
    </w:p>
    <w:p w14:paraId="3213B876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These providers may include, but are not limited to:</w:t>
      </w:r>
    </w:p>
    <w:p w14:paraId="39985C83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• Stripe</w:t>
      </w:r>
      <w:r w:rsidRPr="00590E3A">
        <w:rPr>
          <w:rFonts w:ascii="Arial" w:hAnsi="Arial" w:cs="Arial"/>
        </w:rPr>
        <w:br/>
        <w:t>• Banking networks (ACH and wire transfer systems)</w:t>
      </w:r>
      <w:r w:rsidRPr="00590E3A">
        <w:rPr>
          <w:rFonts w:ascii="Arial" w:hAnsi="Arial" w:cs="Arial"/>
        </w:rPr>
        <w:br/>
      </w:r>
      <w:r w:rsidRPr="00590E3A">
        <w:rPr>
          <w:rFonts w:ascii="Arial" w:hAnsi="Arial" w:cs="Arial"/>
        </w:rPr>
        <w:lastRenderedPageBreak/>
        <w:t>• Financial institutions</w:t>
      </w:r>
      <w:r w:rsidRPr="00590E3A">
        <w:rPr>
          <w:rFonts w:ascii="Arial" w:hAnsi="Arial" w:cs="Arial"/>
        </w:rPr>
        <w:br/>
        <w:t>• Payment gateways and processing partners</w:t>
      </w:r>
    </w:p>
    <w:p w14:paraId="2521D8AC" w14:textId="77777777" w:rsidR="00590E3A" w:rsidRPr="00590E3A" w:rsidRDefault="00590E3A" w:rsidP="00590E3A">
      <w:pPr>
        <w:rPr>
          <w:rFonts w:ascii="Arial" w:hAnsi="Arial" w:cs="Arial"/>
        </w:rPr>
      </w:pPr>
      <w:proofErr w:type="spellStart"/>
      <w:r w:rsidRPr="00590E3A">
        <w:rPr>
          <w:rFonts w:ascii="Arial" w:hAnsi="Arial" w:cs="Arial"/>
        </w:rPr>
        <w:t>Ilirikon</w:t>
      </w:r>
      <w:proofErr w:type="spellEnd"/>
      <w:r w:rsidRPr="00590E3A">
        <w:rPr>
          <w:rFonts w:ascii="Arial" w:hAnsi="Arial" w:cs="Arial"/>
        </w:rPr>
        <w:t xml:space="preserve"> LLC does not directly process or store full credit card numbers or sensitive payment credentials.</w:t>
      </w:r>
    </w:p>
    <w:p w14:paraId="1E81F21D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Payment processors operate independently and are governed by their own terms, policies, and security practices.</w:t>
      </w:r>
    </w:p>
    <w:p w14:paraId="7A31FBC7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By making a payment, you agree to the terms and policies of the applicable payment processor.</w:t>
      </w:r>
    </w:p>
    <w:p w14:paraId="6A94F8CD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4. Payment Security and PCI Compliance</w:t>
      </w:r>
    </w:p>
    <w:p w14:paraId="7019C5E2" w14:textId="77777777" w:rsidR="00590E3A" w:rsidRPr="00590E3A" w:rsidRDefault="00590E3A" w:rsidP="00590E3A">
      <w:pPr>
        <w:rPr>
          <w:rFonts w:ascii="Arial" w:hAnsi="Arial" w:cs="Arial"/>
        </w:rPr>
      </w:pPr>
      <w:proofErr w:type="spellStart"/>
      <w:r w:rsidRPr="00590E3A">
        <w:rPr>
          <w:rFonts w:ascii="Arial" w:hAnsi="Arial" w:cs="Arial"/>
        </w:rPr>
        <w:t>Ilirikon</w:t>
      </w:r>
      <w:proofErr w:type="spellEnd"/>
      <w:r w:rsidRPr="00590E3A">
        <w:rPr>
          <w:rFonts w:ascii="Arial" w:hAnsi="Arial" w:cs="Arial"/>
        </w:rPr>
        <w:t xml:space="preserve"> implements reasonable technical and organizational measures to ensure secure payment processing.</w:t>
      </w:r>
    </w:p>
    <w:p w14:paraId="27C96125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Our payment processors are expected to maintain compliance with applicable security standards, including:</w:t>
      </w:r>
    </w:p>
    <w:p w14:paraId="73A08D99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• PCI-DSS (Payment Card Industry Data Security Standard)</w:t>
      </w:r>
      <w:r w:rsidRPr="00590E3A">
        <w:rPr>
          <w:rFonts w:ascii="Arial" w:hAnsi="Arial" w:cs="Arial"/>
        </w:rPr>
        <w:br/>
        <w:t>• Secure encryption protocols</w:t>
      </w:r>
      <w:r w:rsidRPr="00590E3A">
        <w:rPr>
          <w:rFonts w:ascii="Arial" w:hAnsi="Arial" w:cs="Arial"/>
        </w:rPr>
        <w:br/>
        <w:t>• Fraud detection systems</w:t>
      </w:r>
      <w:r w:rsidRPr="00590E3A">
        <w:rPr>
          <w:rFonts w:ascii="Arial" w:hAnsi="Arial" w:cs="Arial"/>
        </w:rPr>
        <w:br/>
        <w:t>• Secure authentication mechanisms</w:t>
      </w:r>
    </w:p>
    <w:p w14:paraId="71651985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Sensitive payment data is encrypted during transmission.</w:t>
      </w:r>
    </w:p>
    <w:p w14:paraId="4E90F5BB" w14:textId="77777777" w:rsidR="00590E3A" w:rsidRPr="00590E3A" w:rsidRDefault="00590E3A" w:rsidP="00590E3A">
      <w:pPr>
        <w:rPr>
          <w:rFonts w:ascii="Arial" w:hAnsi="Arial" w:cs="Arial"/>
        </w:rPr>
      </w:pPr>
      <w:proofErr w:type="spellStart"/>
      <w:r w:rsidRPr="00590E3A">
        <w:rPr>
          <w:rFonts w:ascii="Arial" w:hAnsi="Arial" w:cs="Arial"/>
        </w:rPr>
        <w:t>Ilirikon</w:t>
      </w:r>
      <w:proofErr w:type="spellEnd"/>
      <w:r w:rsidRPr="00590E3A">
        <w:rPr>
          <w:rFonts w:ascii="Arial" w:hAnsi="Arial" w:cs="Arial"/>
        </w:rPr>
        <w:t xml:space="preserve"> does not have access to full card numbers or complete payment credentials.</w:t>
      </w:r>
    </w:p>
    <w:p w14:paraId="2A2FEEDC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5. Billing Authorization</w:t>
      </w:r>
    </w:p>
    <w:p w14:paraId="0BEB454B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By providing payment information, you represent and warrant that:</w:t>
      </w:r>
    </w:p>
    <w:p w14:paraId="5BCDF9C7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• You are authorized to use the payment method</w:t>
      </w:r>
      <w:r w:rsidRPr="00590E3A">
        <w:rPr>
          <w:rFonts w:ascii="Arial" w:hAnsi="Arial" w:cs="Arial"/>
        </w:rPr>
        <w:br/>
        <w:t>• The payment information provided is accurate and complete</w:t>
      </w:r>
      <w:r w:rsidRPr="00590E3A">
        <w:rPr>
          <w:rFonts w:ascii="Arial" w:hAnsi="Arial" w:cs="Arial"/>
        </w:rPr>
        <w:br/>
        <w:t xml:space="preserve">• You authorize </w:t>
      </w:r>
      <w:proofErr w:type="spellStart"/>
      <w:r w:rsidRPr="00590E3A">
        <w:rPr>
          <w:rFonts w:ascii="Arial" w:hAnsi="Arial" w:cs="Arial"/>
        </w:rPr>
        <w:t>Ilirikon</w:t>
      </w:r>
      <w:proofErr w:type="spellEnd"/>
      <w:r w:rsidRPr="00590E3A">
        <w:rPr>
          <w:rFonts w:ascii="Arial" w:hAnsi="Arial" w:cs="Arial"/>
        </w:rPr>
        <w:t xml:space="preserve"> and its payment processors to charge the applicable amount</w:t>
      </w:r>
      <w:r w:rsidRPr="00590E3A">
        <w:rPr>
          <w:rFonts w:ascii="Arial" w:hAnsi="Arial" w:cs="Arial"/>
        </w:rPr>
        <w:br/>
        <w:t>• You accept responsibility for all charges incurred</w:t>
      </w:r>
    </w:p>
    <w:p w14:paraId="07F43597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Unauthorized or fraudulent use of payment methods is strictly prohibited.</w:t>
      </w:r>
    </w:p>
    <w:p w14:paraId="3EB8A3B8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6. Pricing and Currency</w:t>
      </w:r>
    </w:p>
    <w:p w14:paraId="4C6D96B8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All prices are displayed in the currency specified at the time of purchase.</w:t>
      </w:r>
    </w:p>
    <w:p w14:paraId="233BF89F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Prices may be listed in:</w:t>
      </w:r>
    </w:p>
    <w:p w14:paraId="4EBDB531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• Euro (EUR)</w:t>
      </w:r>
      <w:r w:rsidRPr="00590E3A">
        <w:rPr>
          <w:rFonts w:ascii="Arial" w:hAnsi="Arial" w:cs="Arial"/>
        </w:rPr>
        <w:br/>
        <w:t>• United States Dollar (USD)</w:t>
      </w:r>
      <w:r w:rsidRPr="00590E3A">
        <w:rPr>
          <w:rFonts w:ascii="Arial" w:hAnsi="Arial" w:cs="Arial"/>
        </w:rPr>
        <w:br/>
        <w:t>• Other supported currencies</w:t>
      </w:r>
    </w:p>
    <w:p w14:paraId="5EDCF2F0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lastRenderedPageBreak/>
        <w:t>Currency conversion, if applicable, is handled by your financial institution or payment processor.</w:t>
      </w:r>
    </w:p>
    <w:p w14:paraId="5D60CEBB" w14:textId="77777777" w:rsidR="00590E3A" w:rsidRPr="00590E3A" w:rsidRDefault="00590E3A" w:rsidP="00590E3A">
      <w:pPr>
        <w:rPr>
          <w:rFonts w:ascii="Arial" w:hAnsi="Arial" w:cs="Arial"/>
        </w:rPr>
      </w:pPr>
      <w:proofErr w:type="spellStart"/>
      <w:r w:rsidRPr="00590E3A">
        <w:rPr>
          <w:rFonts w:ascii="Arial" w:hAnsi="Arial" w:cs="Arial"/>
        </w:rPr>
        <w:t>Ilirikon</w:t>
      </w:r>
      <w:proofErr w:type="spellEnd"/>
      <w:r w:rsidRPr="00590E3A">
        <w:rPr>
          <w:rFonts w:ascii="Arial" w:hAnsi="Arial" w:cs="Arial"/>
        </w:rPr>
        <w:t xml:space="preserve"> is not responsible for exchange rate differences or bank fees.</w:t>
      </w:r>
    </w:p>
    <w:p w14:paraId="65E7CB33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7. Billing Accuracy and Errors</w:t>
      </w:r>
    </w:p>
    <w:p w14:paraId="086B599E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You are responsible for reviewing all billing information before completing a transaction.</w:t>
      </w:r>
    </w:p>
    <w:p w14:paraId="1959C011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If you believe a billing error has occurred, you must notify us promptly at:</w:t>
      </w:r>
    </w:p>
    <w:p w14:paraId="232A1276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Email: info@ilirikon.com</w:t>
      </w:r>
    </w:p>
    <w:p w14:paraId="2012FAE2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We will review and investigate billing disputes in good faith.</w:t>
      </w:r>
    </w:p>
    <w:p w14:paraId="132F648E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8. Payment Confirmation</w:t>
      </w:r>
    </w:p>
    <w:p w14:paraId="1C3154C2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Upon successful payment, you may receive:</w:t>
      </w:r>
    </w:p>
    <w:p w14:paraId="2B8D60A8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• Payment confirmation email</w:t>
      </w:r>
      <w:r w:rsidRPr="00590E3A">
        <w:rPr>
          <w:rFonts w:ascii="Arial" w:hAnsi="Arial" w:cs="Arial"/>
        </w:rPr>
        <w:br/>
        <w:t>• Transaction receipt</w:t>
      </w:r>
      <w:r w:rsidRPr="00590E3A">
        <w:rPr>
          <w:rFonts w:ascii="Arial" w:hAnsi="Arial" w:cs="Arial"/>
        </w:rPr>
        <w:br/>
        <w:t>• Event registration confirmation</w:t>
      </w:r>
      <w:r w:rsidRPr="00590E3A">
        <w:rPr>
          <w:rFonts w:ascii="Arial" w:hAnsi="Arial" w:cs="Arial"/>
        </w:rPr>
        <w:br/>
        <w:t>• Digital confirmation or ticket</w:t>
      </w:r>
    </w:p>
    <w:p w14:paraId="69C1E020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It is your responsibility to retain payment confirmations.</w:t>
      </w:r>
    </w:p>
    <w:p w14:paraId="4DC01653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9. Chargebacks and Payment Disputes</w:t>
      </w:r>
    </w:p>
    <w:p w14:paraId="5D253ACD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 xml:space="preserve">Initiating a chargeback without first contacting </w:t>
      </w:r>
      <w:proofErr w:type="spellStart"/>
      <w:r w:rsidRPr="00590E3A">
        <w:rPr>
          <w:rFonts w:ascii="Arial" w:hAnsi="Arial" w:cs="Arial"/>
        </w:rPr>
        <w:t>Ilirikon</w:t>
      </w:r>
      <w:proofErr w:type="spellEnd"/>
      <w:r w:rsidRPr="00590E3A">
        <w:rPr>
          <w:rFonts w:ascii="Arial" w:hAnsi="Arial" w:cs="Arial"/>
        </w:rPr>
        <w:t xml:space="preserve"> to resolve the issue may result in:</w:t>
      </w:r>
    </w:p>
    <w:p w14:paraId="784DC3B4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• Account suspension</w:t>
      </w:r>
      <w:r w:rsidRPr="00590E3A">
        <w:rPr>
          <w:rFonts w:ascii="Arial" w:hAnsi="Arial" w:cs="Arial"/>
        </w:rPr>
        <w:br/>
        <w:t>• Account termination</w:t>
      </w:r>
      <w:r w:rsidRPr="00590E3A">
        <w:rPr>
          <w:rFonts w:ascii="Arial" w:hAnsi="Arial" w:cs="Arial"/>
        </w:rPr>
        <w:br/>
        <w:t>• Restriction from future Services</w:t>
      </w:r>
      <w:r w:rsidRPr="00590E3A">
        <w:rPr>
          <w:rFonts w:ascii="Arial" w:hAnsi="Arial" w:cs="Arial"/>
        </w:rPr>
        <w:br/>
        <w:t xml:space="preserve">• Legal action </w:t>
      </w:r>
      <w:proofErr w:type="gramStart"/>
      <w:r w:rsidRPr="00590E3A">
        <w:rPr>
          <w:rFonts w:ascii="Arial" w:hAnsi="Arial" w:cs="Arial"/>
        </w:rPr>
        <w:t>where</w:t>
      </w:r>
      <w:proofErr w:type="gramEnd"/>
      <w:r w:rsidRPr="00590E3A">
        <w:rPr>
          <w:rFonts w:ascii="Arial" w:hAnsi="Arial" w:cs="Arial"/>
        </w:rPr>
        <w:t xml:space="preserve"> permitted by law</w:t>
      </w:r>
    </w:p>
    <w:p w14:paraId="5A59CC8C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If you believe a charge is incorrect, you must contact us first at:</w:t>
      </w:r>
    </w:p>
    <w:p w14:paraId="4208EFF3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Email: info@ilirikon.com</w:t>
      </w:r>
    </w:p>
    <w:p w14:paraId="6BEA15FD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We will attempt to resolve disputes promptly.</w:t>
      </w:r>
    </w:p>
    <w:p w14:paraId="0E5A8D83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Fraudulent chargebacks may result in legal consequences.</w:t>
      </w:r>
    </w:p>
    <w:p w14:paraId="42F3A525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10. Fraud Prevention and Security Monitoring</w:t>
      </w:r>
    </w:p>
    <w:p w14:paraId="18134C05" w14:textId="77777777" w:rsidR="00590E3A" w:rsidRPr="00590E3A" w:rsidRDefault="00590E3A" w:rsidP="00590E3A">
      <w:pPr>
        <w:rPr>
          <w:rFonts w:ascii="Arial" w:hAnsi="Arial" w:cs="Arial"/>
        </w:rPr>
      </w:pPr>
      <w:proofErr w:type="spellStart"/>
      <w:r w:rsidRPr="00590E3A">
        <w:rPr>
          <w:rFonts w:ascii="Arial" w:hAnsi="Arial" w:cs="Arial"/>
        </w:rPr>
        <w:t>Ilirikon</w:t>
      </w:r>
      <w:proofErr w:type="spellEnd"/>
      <w:r w:rsidRPr="00590E3A">
        <w:rPr>
          <w:rFonts w:ascii="Arial" w:hAnsi="Arial" w:cs="Arial"/>
        </w:rPr>
        <w:t xml:space="preserve"> reserves the right to:</w:t>
      </w:r>
    </w:p>
    <w:p w14:paraId="37580B8C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• Review transactions for fraud prevention</w:t>
      </w:r>
      <w:r w:rsidRPr="00590E3A">
        <w:rPr>
          <w:rFonts w:ascii="Arial" w:hAnsi="Arial" w:cs="Arial"/>
        </w:rPr>
        <w:br/>
        <w:t>• Request identity verification</w:t>
      </w:r>
      <w:r w:rsidRPr="00590E3A">
        <w:rPr>
          <w:rFonts w:ascii="Arial" w:hAnsi="Arial" w:cs="Arial"/>
        </w:rPr>
        <w:br/>
      </w:r>
      <w:r w:rsidRPr="00590E3A">
        <w:rPr>
          <w:rFonts w:ascii="Arial" w:hAnsi="Arial" w:cs="Arial"/>
        </w:rPr>
        <w:lastRenderedPageBreak/>
        <w:t>• Suspend or cancel suspicious transactions</w:t>
      </w:r>
      <w:r w:rsidRPr="00590E3A">
        <w:rPr>
          <w:rFonts w:ascii="Arial" w:hAnsi="Arial" w:cs="Arial"/>
        </w:rPr>
        <w:br/>
        <w:t>• Refuse service where fraud is suspected</w:t>
      </w:r>
    </w:p>
    <w:p w14:paraId="47BFC862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We may use fraud detection and risk assessment systems.</w:t>
      </w:r>
    </w:p>
    <w:p w14:paraId="23773F3B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11. Failed or Rejected Payments</w:t>
      </w:r>
    </w:p>
    <w:p w14:paraId="30C175EE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If a payment fails or is rejected:</w:t>
      </w:r>
    </w:p>
    <w:p w14:paraId="08D5E77B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• Access to Services may be denied or suspended</w:t>
      </w:r>
      <w:r w:rsidRPr="00590E3A">
        <w:rPr>
          <w:rFonts w:ascii="Arial" w:hAnsi="Arial" w:cs="Arial"/>
        </w:rPr>
        <w:br/>
        <w:t>• Event registration may be canceled</w:t>
      </w:r>
      <w:r w:rsidRPr="00590E3A">
        <w:rPr>
          <w:rFonts w:ascii="Arial" w:hAnsi="Arial" w:cs="Arial"/>
        </w:rPr>
        <w:br/>
        <w:t>• Account access may be restricted</w:t>
      </w:r>
    </w:p>
    <w:p w14:paraId="111E201F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You remain responsible for completing valid payments.</w:t>
      </w:r>
    </w:p>
    <w:p w14:paraId="4BC2EED9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12. Refunds and Cancellations</w:t>
      </w:r>
    </w:p>
    <w:p w14:paraId="1051CD68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Refund eligibility and procedures are governed by our Refund and Cancellation Policy.</w:t>
      </w:r>
    </w:p>
    <w:p w14:paraId="2D41C8B4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Not all purchases may be refundable.</w:t>
      </w:r>
    </w:p>
    <w:p w14:paraId="4FBD6487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13. Taxes</w:t>
      </w:r>
    </w:p>
    <w:p w14:paraId="2FC65F4B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Applicable taxes may be added to transactions where required by law.</w:t>
      </w:r>
    </w:p>
    <w:p w14:paraId="68428853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You are responsible for any applicable taxes.</w:t>
      </w:r>
    </w:p>
    <w:p w14:paraId="5B74CE50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14. Data Security and Confidentiality</w:t>
      </w:r>
    </w:p>
    <w:p w14:paraId="2B1BBE10" w14:textId="77777777" w:rsidR="00590E3A" w:rsidRPr="00590E3A" w:rsidRDefault="00590E3A" w:rsidP="00590E3A">
      <w:pPr>
        <w:rPr>
          <w:rFonts w:ascii="Arial" w:hAnsi="Arial" w:cs="Arial"/>
        </w:rPr>
      </w:pPr>
      <w:proofErr w:type="spellStart"/>
      <w:r w:rsidRPr="00590E3A">
        <w:rPr>
          <w:rFonts w:ascii="Arial" w:hAnsi="Arial" w:cs="Arial"/>
        </w:rPr>
        <w:t>Ilirikon</w:t>
      </w:r>
      <w:proofErr w:type="spellEnd"/>
      <w:r w:rsidRPr="00590E3A">
        <w:rPr>
          <w:rFonts w:ascii="Arial" w:hAnsi="Arial" w:cs="Arial"/>
        </w:rPr>
        <w:t xml:space="preserve"> implements reasonable security measures to protect payment-related information, including:</w:t>
      </w:r>
    </w:p>
    <w:p w14:paraId="62572DF9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• Secure transmission protocols</w:t>
      </w:r>
      <w:r w:rsidRPr="00590E3A">
        <w:rPr>
          <w:rFonts w:ascii="Arial" w:hAnsi="Arial" w:cs="Arial"/>
        </w:rPr>
        <w:br/>
        <w:t>• Access restrictions</w:t>
      </w:r>
      <w:r w:rsidRPr="00590E3A">
        <w:rPr>
          <w:rFonts w:ascii="Arial" w:hAnsi="Arial" w:cs="Arial"/>
        </w:rPr>
        <w:br/>
        <w:t>• Monitoring systems</w:t>
      </w:r>
    </w:p>
    <w:p w14:paraId="458B9235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However, no system can guarantee absolute security.</w:t>
      </w:r>
    </w:p>
    <w:p w14:paraId="1674D28C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15. Limitation of Liability</w:t>
      </w:r>
    </w:p>
    <w:p w14:paraId="1ABE0FCA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 xml:space="preserve">To the maximum extent permitted by law, </w:t>
      </w:r>
      <w:proofErr w:type="spellStart"/>
      <w:r w:rsidRPr="00590E3A">
        <w:rPr>
          <w:rFonts w:ascii="Arial" w:hAnsi="Arial" w:cs="Arial"/>
        </w:rPr>
        <w:t>Ilirikon</w:t>
      </w:r>
      <w:proofErr w:type="spellEnd"/>
      <w:r w:rsidRPr="00590E3A">
        <w:rPr>
          <w:rFonts w:ascii="Arial" w:hAnsi="Arial" w:cs="Arial"/>
        </w:rPr>
        <w:t xml:space="preserve"> LLC shall not be liable for:</w:t>
      </w:r>
    </w:p>
    <w:p w14:paraId="08708470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• Unauthorized transactions resulting from user negligence</w:t>
      </w:r>
      <w:r w:rsidRPr="00590E3A">
        <w:rPr>
          <w:rFonts w:ascii="Arial" w:hAnsi="Arial" w:cs="Arial"/>
        </w:rPr>
        <w:br/>
        <w:t>• Payment processor failures</w:t>
      </w:r>
      <w:r w:rsidRPr="00590E3A">
        <w:rPr>
          <w:rFonts w:ascii="Arial" w:hAnsi="Arial" w:cs="Arial"/>
        </w:rPr>
        <w:br/>
        <w:t>• Banking system failures</w:t>
      </w:r>
      <w:r w:rsidRPr="00590E3A">
        <w:rPr>
          <w:rFonts w:ascii="Arial" w:hAnsi="Arial" w:cs="Arial"/>
        </w:rPr>
        <w:br/>
        <w:t>• Delays in financial processing</w:t>
      </w:r>
    </w:p>
    <w:p w14:paraId="5F957E2C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16. International Transactions</w:t>
      </w:r>
    </w:p>
    <w:p w14:paraId="051654C0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International transactions may be subject to:</w:t>
      </w:r>
    </w:p>
    <w:p w14:paraId="44BDF968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lastRenderedPageBreak/>
        <w:t>• Currency conversion fees</w:t>
      </w:r>
      <w:r w:rsidRPr="00590E3A">
        <w:rPr>
          <w:rFonts w:ascii="Arial" w:hAnsi="Arial" w:cs="Arial"/>
        </w:rPr>
        <w:br/>
        <w:t>• Bank fees</w:t>
      </w:r>
      <w:r w:rsidRPr="00590E3A">
        <w:rPr>
          <w:rFonts w:ascii="Arial" w:hAnsi="Arial" w:cs="Arial"/>
        </w:rPr>
        <w:br/>
        <w:t>• Regulatory requirements</w:t>
      </w:r>
    </w:p>
    <w:p w14:paraId="4715D256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 xml:space="preserve">These fees are imposed by financial institutions, not </w:t>
      </w:r>
      <w:proofErr w:type="spellStart"/>
      <w:r w:rsidRPr="00590E3A">
        <w:rPr>
          <w:rFonts w:ascii="Arial" w:hAnsi="Arial" w:cs="Arial"/>
        </w:rPr>
        <w:t>Ilirikon</w:t>
      </w:r>
      <w:proofErr w:type="spellEnd"/>
      <w:r w:rsidRPr="00590E3A">
        <w:rPr>
          <w:rFonts w:ascii="Arial" w:hAnsi="Arial" w:cs="Arial"/>
        </w:rPr>
        <w:t>.</w:t>
      </w:r>
    </w:p>
    <w:p w14:paraId="2B3318FE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17. Changes to This Policy</w:t>
      </w:r>
    </w:p>
    <w:p w14:paraId="62528364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We may update this Policy at any time.</w:t>
      </w:r>
    </w:p>
    <w:p w14:paraId="1287793C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Updated versions will be posted on the Website.</w:t>
      </w:r>
    </w:p>
    <w:p w14:paraId="7242A778" w14:textId="77777777" w:rsidR="00590E3A" w:rsidRPr="00590E3A" w:rsidRDefault="00590E3A" w:rsidP="00590E3A">
      <w:pPr>
        <w:rPr>
          <w:rFonts w:ascii="Arial" w:hAnsi="Arial" w:cs="Arial"/>
        </w:rPr>
      </w:pPr>
      <w:r w:rsidRPr="00590E3A">
        <w:rPr>
          <w:rFonts w:ascii="Arial" w:hAnsi="Arial" w:cs="Arial"/>
        </w:rPr>
        <w:t>Continued use of the Services constitutes acceptance.</w:t>
      </w:r>
    </w:p>
    <w:p w14:paraId="021F9B09" w14:textId="77777777" w:rsidR="00590E3A" w:rsidRPr="00590E3A" w:rsidRDefault="00590E3A" w:rsidP="00590E3A">
      <w:pPr>
        <w:rPr>
          <w:rFonts w:ascii="Arial" w:hAnsi="Arial" w:cs="Arial"/>
          <w:b/>
          <w:bCs/>
        </w:rPr>
      </w:pPr>
      <w:r w:rsidRPr="00590E3A">
        <w:rPr>
          <w:rFonts w:ascii="Arial" w:hAnsi="Arial" w:cs="Arial"/>
          <w:b/>
          <w:bCs/>
        </w:rPr>
        <w:t>18. Contact Information</w:t>
      </w:r>
    </w:p>
    <w:p w14:paraId="118B663D" w14:textId="77777777" w:rsidR="00590E3A" w:rsidRPr="00590E3A" w:rsidRDefault="00590E3A" w:rsidP="00590E3A">
      <w:pPr>
        <w:rPr>
          <w:rFonts w:ascii="Arial" w:hAnsi="Arial" w:cs="Arial"/>
        </w:rPr>
      </w:pPr>
      <w:proofErr w:type="spellStart"/>
      <w:r w:rsidRPr="00590E3A">
        <w:rPr>
          <w:rFonts w:ascii="Arial" w:hAnsi="Arial" w:cs="Arial"/>
        </w:rPr>
        <w:t>Ilirikon</w:t>
      </w:r>
      <w:proofErr w:type="spellEnd"/>
      <w:r w:rsidRPr="00590E3A">
        <w:rPr>
          <w:rFonts w:ascii="Arial" w:hAnsi="Arial" w:cs="Arial"/>
        </w:rPr>
        <w:t xml:space="preserve"> LLC</w:t>
      </w:r>
      <w:r w:rsidRPr="00590E3A">
        <w:rPr>
          <w:rFonts w:ascii="Arial" w:hAnsi="Arial" w:cs="Arial"/>
        </w:rPr>
        <w:br/>
        <w:t>Company Address: 30 N Gould St, Sheridan, WY 82801, United States</w:t>
      </w:r>
      <w:r w:rsidRPr="00590E3A">
        <w:rPr>
          <w:rFonts w:ascii="Arial" w:hAnsi="Arial" w:cs="Arial"/>
        </w:rPr>
        <w:br/>
        <w:t xml:space="preserve">Website: </w:t>
      </w:r>
      <w:hyperlink r:id="rId5" w:tgtFrame="_new" w:history="1">
        <w:r w:rsidRPr="00590E3A">
          <w:rPr>
            <w:rStyle w:val="Hyperlink"/>
            <w:rFonts w:ascii="Arial" w:hAnsi="Arial" w:cs="Arial"/>
          </w:rPr>
          <w:t>https://www.ilirikon.com/en/</w:t>
        </w:r>
      </w:hyperlink>
      <w:r w:rsidRPr="00590E3A">
        <w:rPr>
          <w:rFonts w:ascii="Arial" w:hAnsi="Arial" w:cs="Arial"/>
        </w:rPr>
        <w:br/>
        <w:t>Email: info@ilirikon.com</w:t>
      </w:r>
    </w:p>
    <w:p w14:paraId="011B33FC" w14:textId="77777777" w:rsidR="00140BE5" w:rsidRPr="00590E3A" w:rsidRDefault="00140BE5">
      <w:pPr>
        <w:rPr>
          <w:rFonts w:ascii="Arial" w:hAnsi="Arial" w:cs="Arial"/>
        </w:rPr>
      </w:pPr>
    </w:p>
    <w:sectPr w:rsidR="00140BE5" w:rsidRPr="00590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3A"/>
    <w:rsid w:val="00000B3F"/>
    <w:rsid w:val="000B62DD"/>
    <w:rsid w:val="00140BE5"/>
    <w:rsid w:val="00275001"/>
    <w:rsid w:val="0059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00DB"/>
  <w15:chartTrackingRefBased/>
  <w15:docId w15:val="{F97A1252-FAC4-47EC-BD3E-BA4ACB58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E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E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E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E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E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0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lirikon.com/en/" TargetMode="External"/><Relationship Id="rId4" Type="http://schemas.openxmlformats.org/officeDocument/2006/relationships/hyperlink" Target="https://www.ilirikon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1</cp:revision>
  <dcterms:created xsi:type="dcterms:W3CDTF">2026-02-20T12:47:00Z</dcterms:created>
  <dcterms:modified xsi:type="dcterms:W3CDTF">2026-02-20T12:47:00Z</dcterms:modified>
</cp:coreProperties>
</file>